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395</w:t>
      </w:r>
    </w:p>
    <w:p>
      <w:r>
        <w:t>Bundesgericht (BGE), 1983-11-24, IT</w:t>
      </w:r>
    </w:p>
    <w:p>
      <w:r>
        <w:rPr>
          <w:b/>
        </w:rPr>
        <w:t xml:space="preserve">Quelle: </w:t>
      </w:r>
      <w:r>
        <w:t>https://mcp.opencaselaw.ch/entscheid/bge_109 II 395</w:t>
      </w:r>
    </w:p>
    <w:p>
      <w:r>
        <w:t>FR: ATF 109 II 395</w:t>
      </w:r>
    </w:p>
    <w:p>
      <w:r>
        <w:t>IT: DTF 109 II 395</w:t>
      </w:r>
    </w:p>
    <w:p>
      <w:pPr>
        <w:pStyle w:val="Heading2"/>
      </w:pPr>
      <w:r>
        <w:t>Regeste</w:t>
      </w:r>
    </w:p>
    <w:p>
      <w:r>
        <w:t>Regeste Entmündigung wegen Verurteilung zu einer Freiheitsstrafe (Art. 371 ZGB). Im Entmündigungsverfahren gilt die Offizialmaxime, wonach die Behörde von Amtes wegen die notwendigen Beweise zur Abklärung der konkreten Umstände zu erheben hat. Im Falle des Art. 371 ZGB, wo sich die Behörde auf eine gesetzliche Vermutung berufen kann, ist jene nicht gehalten, von sich aus eine Untersuchung über die Notwendigkeit der Bevormundung durchzuführen. Hat sie jedoch Kenntnis von Indizien, die geeignet sind, die gesetzliche Vermutung umzustossen, muss sie diese Indizien von Amtes wegen überprüfen, und zwar unabhängig davon, woher die Informationen stammen und was die vom Entmündigungsverfahren betroffene Person anerkennt.</w:t>
      </w:r>
    </w:p>
    <w:p>
      <w:pPr>
        <w:pStyle w:val="Heading2"/>
      </w:pPr>
      <w:r>
        <w:t>Erwägungen</w:t>
      </w:r>
    </w:p>
    <w:p>
      <w:r>
        <w:rPr>
          <w:b/>
        </w:rPr>
        <w:t>E. 1</w:t>
      </w:r>
    </w:p>
    <w:p>
      <w:r>
        <w:t>È soggetta a tutela giusta l' art. 371 CC ogni persona BGE 109 II 395 S. 397 maggiorenne condannata a una pena privativa della libertà per un anno o più. La tutela fondata sull' art. 371 CC si estingue con l'espiazione della pena, ma non con la liberazione temporanea o condizionale ( art. 432 CC ), nemmeno se il periodo di prova fissato dall'autorità a norma dell' art. 38 n. 2 CP si rivela più lungo della durata residua della condanna ( DTF 84 II 677 ; EGGER in: Zürcher Kommentar, 2a edizione, nota 3 ad art. 432 CC ). La giurisprudenza del Tribunale federale, rinunciando a interpretare l' art. 371 CC come un caso imprescindibile di tutela, ravvisa nello stesso una presunzione relativa, confutabile con la dimostrazione che, in concreto, il compito del tutore risulta completamente privo d'oggetto, tanto dal profilo personale quanto da quello economico ( DTF 104 II 14 consid. 4). Secondo la prassi più recente tale controprova non va giudicata con eccessivo rigore: l'interdizione prescritta dall' art. 371 CC non discende infatti dalla gravità della condanna, bensì dall'impedimento per il detenuto di provvedere adeguatamente alla salvaguardia dei propri interessi ( DTF 109 II 11 con richiami).</w:t>
      </w:r>
    </w:p>
    <w:p>
      <w:r>
        <w:rPr>
          <w:b/>
        </w:rPr>
        <w:t>E. 2</w:t>
      </w:r>
    </w:p>
    <w:p>
      <w:r>
        <w:t>a) L'autorità cantonale giustifica l'istituzione della tutela con l'argomento che il ricorrente, oltre a non disporre di mezzi finanziari, non ha neppure infirmato con prove la presunzione dell' art. 371 CC . A parere del ricorrente, invece, si verificano le premesse per evitare la nomina di un tutore: egli ricorda di essere celibe e di aver sempre curato i propri interessi - anche durante la carcerazione - senza far capo a enti statali, e ciò grazie all'aiuto della famiglia e degli amici; in secondo luogo assevera che la designazione di un tutore non solo riuscirebbe inutile, trovandosi egli in libertà condizionata e avendo già reperito un'occupazione, ma dannosa, dovendo essere pubblicata sul foglio ufficiale ( art. 375 CC ). b) L' art. 371 CC costituisce una norma protettiva che, analogamente ai casi di tutela previsti dagli art. 369 e 370 CC , permette di limitare la libertà personale ove esista un'effettiva e seria condizione di bisogno ( DTF 109 II 11 con riferimenti). L'autorità cantonale evoca le insufficienti ricorse economiche del ricorrente per confermare la necessità della tutela. Se non che un eventuale stato di indigenza può essere rimediato con l'assistenza tra parenti (art. 328 segg. CC) o con l'assistenza sociale, ma non implica la creazione di una tutela, a meno che l'interessato sia soggettivamente incapace di amministrarsi ( art. 370 CC ). Siffatta incapacità non è stata accertata dall'autorità cantonale, né emerge dagli atti. La decisione impugnata rinvia a torto all' art. 406 CC : BGE 109 II 395 S. 398 questa norma riguarda esclusivamente le funzioni del tutore e non ha pertinenza con i motivi di tutela. c) Ritenuto come la presunzione dell' art. 371 CC non sia confortata da elementi di fatto, resta da esaminare se la medesima appaia smentita da circostanze concrete, tali da sottrarre alla missione del tutore ogni opportunità. Secondo il Dipartimento di giustizia l'onere della controprova incombe all'interessato, non all'autorità. Il Dipartimento disconosce tuttavia che in materia d'interdizione vige, conformemente al diritto federale, il principio inquisitorio, per cui l'autorità deve esperire d'ufficio le prove necessarie ad appurare la fattispecie (SCHNYDER/MURER in: Berner Kommentar, 3a edizione, note 117 segg. ad art. 373 CC con citazioni; TUOR/SCHNYDER, ZGB, ristampa della 9a edizione, pag. 329). Il principio inquisitorio non esime l'interessato dal sostanziare e documentare le proprie allegazioni ( DTF 106 Ib 80 consid. 2aa con richiami) né impone all'autorità l'obbligo di assumere mezzi probatori, il cui presumibile risultato non porterebbe chiarimenti di rilievo ( DTF 106 Ia 162 consid. 2b con riferimenti). Per di più, una volta accertati i requisiti dell' art. 371 CC , l'autorità non è tenuta a promuovere di sua iniziativa un'ulteriore inchiesta sulla necessità della tutela, proprio perché può già valersi di una presunzione legale. Nondimeno, ove giunga a conoscenza di indizi suscettibili di invalidare la presunzione dell' art. 371 CC , l'autorità deve verificare i fatti d'ufficio, indipendentemente dalla provenienza delle informazioni o dalle ammissioni dell'interessato. Ciò vale, a maggior ragione, qualora l'autorità statuisca - come in concreto - oltre un anno dopo l'introduzione della procedura, sia di primo o di secondo grado. Del resto, se l'esigenza di protezione dell'interessato è posta in causa, l'autorità cantonale d'ultima istanza deve valutare le circostanze al momento in cui è chiamata a decidere (SCHNYDER/MURER, op.cit., nota 228 ad art. 373 CC con rinvio alla sentenza 12 gennaio 1958 della II Corte civile pubblicata in: Rivista di diritto tutelare, vol. 14/1959, pag. 71 consid. 3). Nel caso in questione le autorità ticinesi non hanno svolto alcuna indagine sull'effettiva necessità della tutela, che il ricorrente ha sempre contestato giovandosi del sostegno dei familiari, né hanno vagliato la possibilità di un intervento meno pregiudizievole per il ricorrente (inabilitazione, curatela, patronato). Prima che il Dipartimento di giustizia si pronunciasse sembrano essere accaduti, per di più, mutamenti BGE 109 II 395 S. 399 importanti ed essenziali che non potevano essere negletti: il ricorrente afferma, fra l'altro, di aver beneficiato nel mese di luglio 1982 del regime di semilibertà, di aver ottenuto il 20 dicembre 1982 la libertà condizionata e di essersi infine procurato un lavoro. Verificandosi simili presupposti è evidente che l'imprescindibilità di una tutela non può semplicemente essere presunta: un'istruttoria deve almeno accertare quale indispensabile funzione potrebbe ancora svolgere un tutore nominato in virtù dell' art. 371 CC . L'inserto della causa, come giustamente rileva il Dipartimento di giustizia nelle proprie osservazioni, non fornisce alcuna deduzione in proposito. La vertenza va rimandata, quindi, all'autorità cantonale perché completi gli accertamenti di fatto ed emetta una nuova decisione ( art. 64 OG ).</w:t>
      </w:r>
    </w:p>
    <w:p>
      <w:r>
        <w:rPr>
          <w:b/>
        </w:rPr>
        <w:t>E. 3</w:t>
      </w:r>
    </w:p>
    <w:p>
      <w:r>
        <w:t>(Spese e ripetibili.)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